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23" w:lineRule="atLeast"/>
        <w:jc w:val="center"/>
        <w:rPr>
          <w:rFonts w:ascii="黑体" w:hAnsi="黑体" w:eastAsia="黑体" w:cs="黑体"/>
          <w:color w:val="000000"/>
          <w:sz w:val="44"/>
          <w:szCs w:val="44"/>
        </w:rPr>
      </w:pPr>
      <w:r>
        <w:rPr>
          <w:rFonts w:hint="eastAsia" w:ascii="黑体" w:hAnsi="黑体" w:eastAsia="黑体" w:cs="黑体"/>
          <w:color w:val="000000"/>
          <w:kern w:val="0"/>
          <w:sz w:val="44"/>
          <w:szCs w:val="44"/>
          <w:shd w:val="clear" w:color="auto" w:fill="FFFFFF"/>
        </w:rPr>
        <w:t>关于扶持全市律师业发展的若干政策意见</w:t>
      </w:r>
    </w:p>
    <w:p>
      <w:pPr>
        <w:widowControl/>
        <w:shd w:val="clear" w:color="auto" w:fill="FFFFFF"/>
        <w:spacing w:line="23" w:lineRule="atLeast"/>
        <w:ind w:firstLine="480"/>
        <w:jc w:val="center"/>
        <w:rPr>
          <w:rFonts w:ascii="仿宋" w:hAnsi="仿宋" w:eastAsia="仿宋" w:cs="宋体"/>
          <w:color w:val="000000"/>
          <w:sz w:val="32"/>
          <w:szCs w:val="32"/>
        </w:rPr>
      </w:pPr>
      <w:bookmarkStart w:id="0" w:name="_GoBack"/>
      <w:bookmarkEnd w:id="0"/>
      <w:r>
        <w:rPr>
          <w:rFonts w:hint="eastAsia" w:ascii="仿宋" w:hAnsi="仿宋" w:eastAsia="仿宋" w:cs="宋体"/>
          <w:color w:val="000000"/>
          <w:kern w:val="0"/>
          <w:sz w:val="32"/>
          <w:szCs w:val="32"/>
          <w:shd w:val="clear" w:color="auto" w:fill="FFFFFF"/>
        </w:rPr>
        <w:t>（征求意见稿）</w:t>
      </w:r>
    </w:p>
    <w:p>
      <w:pPr>
        <w:widowControl/>
        <w:shd w:val="clear" w:color="auto" w:fill="FFFFFF"/>
        <w:spacing w:line="23" w:lineRule="atLeast"/>
        <w:ind w:firstLine="640"/>
        <w:rPr>
          <w:rFonts w:ascii="仿宋" w:hAnsi="仿宋" w:eastAsia="仿宋" w:cs="宋体"/>
          <w:color w:val="000000" w:themeColor="text1"/>
          <w:sz w:val="32"/>
          <w:szCs w:val="32"/>
        </w:rPr>
      </w:pPr>
      <w:r>
        <w:rPr>
          <w:rFonts w:hint="eastAsia" w:ascii="仿宋" w:hAnsi="仿宋" w:eastAsia="仿宋" w:cs="宋体"/>
          <w:color w:val="000000"/>
          <w:kern w:val="0"/>
          <w:sz w:val="32"/>
          <w:szCs w:val="32"/>
          <w:shd w:val="clear" w:color="auto" w:fill="FFFFFF"/>
        </w:rPr>
        <w:t>为提升全市</w:t>
      </w:r>
      <w:r>
        <w:rPr>
          <w:rFonts w:hint="eastAsia" w:ascii="仿宋" w:hAnsi="仿宋" w:eastAsia="仿宋" w:cs="宋体"/>
          <w:color w:val="000000" w:themeColor="text1"/>
          <w:sz w:val="32"/>
          <w:szCs w:val="32"/>
        </w:rPr>
        <w:t>依法执政、依法行政能力和水平，深化法治金华建设，</w:t>
      </w:r>
      <w:r>
        <w:rPr>
          <w:rFonts w:hint="eastAsia" w:ascii="仿宋" w:hAnsi="仿宋" w:eastAsia="仿宋" w:cs="宋体"/>
          <w:color w:val="000000"/>
          <w:kern w:val="0"/>
          <w:sz w:val="32"/>
          <w:szCs w:val="32"/>
          <w:shd w:val="clear" w:color="auto" w:fill="FFFFFF"/>
        </w:rPr>
        <w:t>促进金华律师业持续健康发展，</w:t>
      </w:r>
      <w:r>
        <w:rPr>
          <w:rFonts w:hint="eastAsia" w:ascii="仿宋" w:hAnsi="仿宋" w:eastAsia="仿宋" w:cs="宋体"/>
          <w:color w:val="000000" w:themeColor="text1"/>
          <w:sz w:val="32"/>
          <w:szCs w:val="32"/>
        </w:rPr>
        <w:t>根据</w:t>
      </w:r>
      <w:r>
        <w:rPr>
          <w:rFonts w:hint="eastAsia" w:ascii="仿宋" w:hAnsi="仿宋" w:eastAsia="仿宋" w:cs="宋体"/>
          <w:color w:val="000000"/>
          <w:kern w:val="0"/>
          <w:sz w:val="32"/>
          <w:szCs w:val="32"/>
          <w:shd w:val="clear" w:color="auto" w:fill="FFFFFF"/>
        </w:rPr>
        <w:t>《中共中央办公厅国务院办公厅&lt;关于深化律师制度改革的意见&gt;的通知》、《中共浙江省委办公厅浙江省人民政府办公厅&lt;关于深化律师制度改革的实施意见&gt;的通知》及省司法厅</w:t>
      </w:r>
      <w:r>
        <w:rPr>
          <w:rFonts w:hint="eastAsia" w:ascii="仿宋" w:hAnsi="仿宋" w:eastAsia="仿宋" w:cs="宋体"/>
          <w:color w:val="000000" w:themeColor="text1"/>
          <w:sz w:val="32"/>
          <w:szCs w:val="32"/>
        </w:rPr>
        <w:t>《关于在全省律师行业实施“名所名品名律师”培育工程的意见》等精神，结合我市实际，现就扶持全市律师业发展提出如下政策意见。</w:t>
      </w:r>
    </w:p>
    <w:p>
      <w:pPr>
        <w:widowControl/>
        <w:shd w:val="clear" w:color="auto" w:fill="FFFFFF"/>
        <w:spacing w:line="23" w:lineRule="atLeast"/>
        <w:ind w:firstLine="640"/>
        <w:rPr>
          <w:rFonts w:ascii="黑体" w:hAnsi="黑体" w:eastAsia="黑体" w:cs="宋体"/>
          <w:color w:val="000000"/>
          <w:sz w:val="32"/>
          <w:szCs w:val="32"/>
        </w:rPr>
      </w:pPr>
      <w:r>
        <w:rPr>
          <w:rFonts w:hint="eastAsia" w:ascii="黑体" w:hAnsi="黑体" w:eastAsia="黑体" w:cs="黑体"/>
          <w:color w:val="000000"/>
          <w:kern w:val="0"/>
          <w:sz w:val="32"/>
          <w:szCs w:val="32"/>
          <w:shd w:val="clear" w:color="auto" w:fill="FFFFFF"/>
        </w:rPr>
        <w:t>一、指导思想</w:t>
      </w:r>
    </w:p>
    <w:p>
      <w:pPr>
        <w:widowControl/>
        <w:shd w:val="clear" w:color="auto" w:fill="FFFFFF"/>
        <w:spacing w:line="560" w:lineRule="atLeast"/>
        <w:ind w:firstLine="640"/>
        <w:rPr>
          <w:rFonts w:ascii="仿宋" w:hAnsi="仿宋" w:eastAsia="仿宋" w:cs="宋体"/>
          <w:color w:val="000000"/>
          <w:kern w:val="0"/>
          <w:sz w:val="32"/>
          <w:szCs w:val="32"/>
          <w:shd w:val="clear" w:color="auto" w:fill="FFFFFF"/>
        </w:rPr>
      </w:pPr>
      <w:r>
        <w:rPr>
          <w:rFonts w:hint="eastAsia" w:ascii="仿宋" w:hAnsi="仿宋" w:eastAsia="仿宋" w:cs="宋体"/>
          <w:color w:val="000000"/>
          <w:kern w:val="0"/>
          <w:sz w:val="32"/>
          <w:szCs w:val="32"/>
          <w:shd w:val="clear" w:color="auto" w:fill="FFFFFF"/>
        </w:rPr>
        <w:t>以习近平新时代中国特色社会主义思想为指导，以增强律师业服务经济社会发展功能为核心，以法律服务品牌化为导向，以律师业务专业化为目标，以保障律师执业权利为重点，加大律师业发展政策扶持力度，全面推进依法治市，大力服务经济社会发展，积极回应人民群众日益增长的法律服务需求，发挥律师人才在“两个高水平”建设中的示范带头作用，为打造最佳营商环境提供法治保障，为深入推进法治金华建设作出更大贡献。</w:t>
      </w:r>
    </w:p>
    <w:p>
      <w:pPr>
        <w:widowControl/>
        <w:shd w:val="clear" w:color="auto" w:fill="FFFFFF"/>
        <w:spacing w:line="560" w:lineRule="atLeast"/>
        <w:ind w:firstLine="640"/>
        <w:rPr>
          <w:rFonts w:ascii="黑体" w:hAnsi="黑体" w:eastAsia="黑体" w:cs="黑体"/>
          <w:color w:val="000000"/>
          <w:sz w:val="32"/>
          <w:szCs w:val="32"/>
        </w:rPr>
      </w:pPr>
      <w:r>
        <w:rPr>
          <w:rFonts w:hint="eastAsia" w:ascii="黑体" w:hAnsi="黑体" w:eastAsia="黑体" w:cs="黑体"/>
          <w:color w:val="000000"/>
          <w:kern w:val="0"/>
          <w:sz w:val="32"/>
          <w:szCs w:val="32"/>
          <w:shd w:val="clear" w:color="auto" w:fill="FFFFFF"/>
        </w:rPr>
        <w:t>二、总体目标</w:t>
      </w:r>
    </w:p>
    <w:p>
      <w:pPr>
        <w:widowControl/>
        <w:shd w:val="clear" w:color="auto" w:fill="FFFFFF"/>
        <w:spacing w:line="23" w:lineRule="atLeast"/>
        <w:ind w:firstLine="640"/>
        <w:rPr>
          <w:rFonts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rPr>
        <w:t>力争通过3年时间，完善律师队伍人才机制，改善律师人才环境，全力打造一支高素质、专业化、复合型的律师人才队伍，扶持一批综合性品牌规模律师事务所和在专业领域具备核心竞争力的律师事务所，形成结构科学合理、专业门类齐全、执业规范有序、服务优质高效、保障充分有力的律师行业发展格局。</w:t>
      </w:r>
    </w:p>
    <w:p>
      <w:pPr>
        <w:widowControl/>
        <w:shd w:val="clear" w:color="auto" w:fill="FFFFFF"/>
        <w:spacing w:line="23" w:lineRule="atLeast"/>
        <w:ind w:firstLine="640"/>
        <w:rPr>
          <w:rFonts w:ascii="仿宋" w:hAnsi="仿宋" w:eastAsia="仿宋" w:cs="宋体"/>
          <w:color w:val="000000"/>
          <w:sz w:val="32"/>
          <w:szCs w:val="32"/>
        </w:rPr>
      </w:pPr>
      <w:r>
        <w:rPr>
          <w:rFonts w:hint="eastAsia" w:ascii="仿宋" w:hAnsi="仿宋" w:eastAsia="仿宋" w:cs="宋体"/>
          <w:b/>
          <w:bCs/>
          <w:color w:val="000000"/>
          <w:kern w:val="0"/>
          <w:sz w:val="32"/>
          <w:szCs w:val="32"/>
          <w:shd w:val="clear" w:color="auto" w:fill="FFFFFF"/>
        </w:rPr>
        <w:t>——人才队伍优化目标：</w:t>
      </w:r>
      <w:r>
        <w:rPr>
          <w:rFonts w:hint="eastAsia" w:ascii="仿宋" w:hAnsi="仿宋" w:eastAsia="仿宋" w:cs="宋体"/>
          <w:color w:val="000000"/>
          <w:kern w:val="0"/>
          <w:sz w:val="32"/>
          <w:szCs w:val="32"/>
          <w:shd w:val="clear" w:color="auto" w:fill="FFFFFF"/>
        </w:rPr>
        <w:t>到2022年，全市培养律师总数达到2500名，每万人律师比达到4；引进硕士学位以上研究生和“双一流”大学全日制法学类专业毕业生50名以上；培养名律师66名以上，其中：创新能力卓越、引领作用突出的领军型律师15名，在全市律师行业处于领先地位、具有重要影响的骨干型律师45名,涉外型专业律师6名。</w:t>
      </w:r>
    </w:p>
    <w:p>
      <w:pPr>
        <w:widowControl/>
        <w:shd w:val="clear" w:color="auto" w:fill="FFFFFF"/>
        <w:spacing w:line="23" w:lineRule="atLeast"/>
        <w:ind w:firstLine="640"/>
        <w:rPr>
          <w:rFonts w:ascii="仿宋" w:hAnsi="仿宋" w:eastAsia="仿宋" w:cs="宋体"/>
          <w:color w:val="000000"/>
          <w:sz w:val="32"/>
          <w:szCs w:val="32"/>
        </w:rPr>
      </w:pPr>
      <w:r>
        <w:rPr>
          <w:rFonts w:hint="eastAsia" w:ascii="仿宋" w:hAnsi="仿宋" w:eastAsia="仿宋" w:cs="宋体"/>
          <w:b/>
          <w:bCs/>
          <w:color w:val="000000"/>
          <w:kern w:val="0"/>
          <w:sz w:val="32"/>
          <w:szCs w:val="32"/>
          <w:shd w:val="clear" w:color="auto" w:fill="FFFFFF"/>
        </w:rPr>
        <w:t>——品牌律所培育目标：</w:t>
      </w:r>
      <w:r>
        <w:rPr>
          <w:rFonts w:hint="eastAsia" w:ascii="仿宋" w:hAnsi="仿宋" w:eastAsia="仿宋" w:cs="宋体"/>
          <w:color w:val="000000"/>
          <w:kern w:val="0"/>
          <w:sz w:val="32"/>
          <w:szCs w:val="32"/>
          <w:shd w:val="clear" w:color="auto" w:fill="FFFFFF"/>
        </w:rPr>
        <w:t>到2022年，全市培育覆盖建筑房地产、破产重整、公司法务、金融证券、刑事辩护等重点领域的专业特色强所20家；培育综合性品牌规模所15家以上，其中有50名以上执业律师的事务所5家以上，有30—50名执业律师的事务所10家。</w:t>
      </w:r>
    </w:p>
    <w:p>
      <w:pPr>
        <w:widowControl/>
        <w:shd w:val="clear" w:color="auto" w:fill="FFFFFF"/>
        <w:spacing w:line="23" w:lineRule="atLeast"/>
        <w:ind w:firstLine="640"/>
        <w:rPr>
          <w:rFonts w:ascii="仿宋" w:hAnsi="仿宋" w:eastAsia="仿宋" w:cs="宋体"/>
          <w:color w:val="000000"/>
          <w:sz w:val="32"/>
          <w:szCs w:val="32"/>
        </w:rPr>
      </w:pPr>
      <w:r>
        <w:rPr>
          <w:rFonts w:hint="eastAsia" w:ascii="仿宋" w:hAnsi="仿宋" w:eastAsia="仿宋" w:cs="宋体"/>
          <w:b/>
          <w:bCs/>
          <w:color w:val="000000"/>
          <w:kern w:val="0"/>
          <w:sz w:val="32"/>
          <w:szCs w:val="32"/>
          <w:shd w:val="clear" w:color="auto" w:fill="FFFFFF"/>
        </w:rPr>
        <w:t>——执业权利保障目标：</w:t>
      </w:r>
      <w:r>
        <w:rPr>
          <w:rFonts w:hint="eastAsia" w:ascii="仿宋" w:hAnsi="仿宋" w:eastAsia="仿宋" w:cs="宋体"/>
          <w:color w:val="000000"/>
          <w:kern w:val="0"/>
          <w:sz w:val="32"/>
          <w:szCs w:val="32"/>
          <w:shd w:val="clear" w:color="auto" w:fill="FFFFFF"/>
        </w:rPr>
        <w:t>到2022年底，律师执业权利得到充分保障，合法合规的调查取证工作得到行政事业单位、国有企业、金融业单位的有效配合和支持。</w:t>
      </w:r>
    </w:p>
    <w:p>
      <w:pPr>
        <w:widowControl/>
        <w:shd w:val="clear" w:color="auto" w:fill="FFFFFF"/>
        <w:spacing w:line="23" w:lineRule="atLeast"/>
        <w:ind w:firstLine="640"/>
        <w:rPr>
          <w:rFonts w:ascii="黑体" w:hAnsi="黑体" w:eastAsia="黑体" w:cs="宋体"/>
          <w:color w:val="000000"/>
          <w:sz w:val="32"/>
          <w:szCs w:val="32"/>
        </w:rPr>
      </w:pPr>
      <w:r>
        <w:rPr>
          <w:rFonts w:hint="eastAsia" w:ascii="黑体" w:hAnsi="黑体" w:eastAsia="黑体" w:cs="黑体"/>
          <w:color w:val="000000"/>
          <w:kern w:val="0"/>
          <w:sz w:val="32"/>
          <w:szCs w:val="32"/>
          <w:shd w:val="clear" w:color="auto" w:fill="FFFFFF"/>
        </w:rPr>
        <w:t>三、政策措施</w:t>
      </w:r>
    </w:p>
    <w:p>
      <w:pPr>
        <w:widowControl/>
        <w:shd w:val="clear" w:color="auto" w:fill="FFFFFF"/>
        <w:spacing w:line="23" w:lineRule="atLeast"/>
        <w:ind w:firstLine="640"/>
        <w:rPr>
          <w:rFonts w:ascii="仿宋" w:hAnsi="仿宋" w:eastAsia="仿宋" w:cs="宋体"/>
          <w:b/>
          <w:bCs/>
          <w:color w:val="000000"/>
          <w:sz w:val="32"/>
          <w:szCs w:val="32"/>
        </w:rPr>
      </w:pPr>
      <w:r>
        <w:rPr>
          <w:rFonts w:hint="eastAsia" w:ascii="仿宋" w:hAnsi="仿宋" w:eastAsia="仿宋" w:cs="宋体"/>
          <w:b/>
          <w:bCs/>
          <w:color w:val="000000"/>
          <w:kern w:val="0"/>
          <w:sz w:val="32"/>
          <w:szCs w:val="32"/>
          <w:shd w:val="clear" w:color="auto" w:fill="FFFFFF"/>
        </w:rPr>
        <w:t>（一）加大财政扶持力度。</w:t>
      </w:r>
    </w:p>
    <w:p>
      <w:pPr>
        <w:widowControl/>
        <w:shd w:val="clear" w:color="auto" w:fill="FFFFFF"/>
        <w:spacing w:line="23" w:lineRule="atLeast"/>
        <w:ind w:firstLine="640"/>
        <w:rPr>
          <w:rFonts w:ascii="仿宋" w:hAnsi="仿宋" w:eastAsia="仿宋" w:cs="宋体"/>
          <w:color w:val="000000" w:themeColor="text1"/>
          <w:kern w:val="0"/>
          <w:sz w:val="32"/>
          <w:szCs w:val="32"/>
          <w:shd w:val="clear" w:color="auto" w:fill="FFFFFF"/>
        </w:rPr>
      </w:pPr>
      <w:r>
        <w:rPr>
          <w:rFonts w:hint="eastAsia" w:ascii="仿宋" w:hAnsi="仿宋" w:eastAsia="仿宋" w:cs="宋体"/>
          <w:b/>
          <w:bCs/>
          <w:color w:val="000000"/>
          <w:kern w:val="0"/>
          <w:sz w:val="32"/>
          <w:szCs w:val="32"/>
          <w:shd w:val="clear" w:color="auto" w:fill="FFFFFF"/>
        </w:rPr>
        <w:t>1．鼓励</w:t>
      </w:r>
      <w:r>
        <w:rPr>
          <w:rFonts w:hint="eastAsia" w:ascii="仿宋" w:hAnsi="仿宋" w:eastAsia="仿宋" w:cs="宋体"/>
          <w:b/>
          <w:bCs/>
          <w:color w:val="000000" w:themeColor="text1"/>
          <w:kern w:val="0"/>
          <w:sz w:val="32"/>
          <w:szCs w:val="32"/>
          <w:shd w:val="clear" w:color="auto" w:fill="FFFFFF"/>
        </w:rPr>
        <w:t>律师事务所</w:t>
      </w:r>
      <w:r>
        <w:rPr>
          <w:rFonts w:hint="eastAsia" w:ascii="仿宋" w:hAnsi="仿宋" w:eastAsia="仿宋" w:cs="宋体"/>
          <w:b/>
          <w:bCs/>
          <w:color w:val="000000"/>
          <w:kern w:val="0"/>
          <w:sz w:val="32"/>
          <w:szCs w:val="32"/>
          <w:shd w:val="clear" w:color="auto" w:fill="FFFFFF"/>
        </w:rPr>
        <w:t>做大做强。</w:t>
      </w:r>
      <w:r>
        <w:rPr>
          <w:rFonts w:hint="eastAsia" w:ascii="仿宋" w:hAnsi="仿宋" w:eastAsia="仿宋" w:cs="宋体"/>
          <w:color w:val="000000" w:themeColor="text1"/>
          <w:kern w:val="0"/>
          <w:sz w:val="32"/>
          <w:szCs w:val="32"/>
          <w:shd w:val="clear" w:color="auto" w:fill="FFFFFF"/>
        </w:rPr>
        <w:t>以律师事务所2018年专职执业律师人数和业务收入为基础，从2019年起，对首次达到专职执业律师30名以上且业务收入2000万以上的律师事务所，一次性奖励30万元；对首次达到专职执业律师40名以上且业务收入3000万元以上的律师事务所，一次性奖励50万元；对首次达到专职执业律师50名以上且业务收入4000万以上的，一次性奖励80万元；对首次达到专职执业律师100名以上且业务收入1亿元以上条件的律所，一次性奖励150万元。奖励资金由当地财政予以保障。</w:t>
      </w:r>
    </w:p>
    <w:p>
      <w:pPr>
        <w:widowControl/>
        <w:shd w:val="clear" w:color="auto" w:fill="FFFFFF"/>
        <w:spacing w:line="23" w:lineRule="atLeast"/>
        <w:ind w:firstLine="640"/>
        <w:rPr>
          <w:rFonts w:ascii="仿宋" w:hAnsi="仿宋" w:eastAsia="仿宋" w:cs="宋体"/>
          <w:color w:val="000000"/>
          <w:kern w:val="0"/>
          <w:sz w:val="32"/>
          <w:szCs w:val="32"/>
          <w:shd w:val="clear" w:color="auto" w:fill="FFFFFF"/>
        </w:rPr>
      </w:pPr>
      <w:r>
        <w:rPr>
          <w:rFonts w:hint="eastAsia" w:ascii="仿宋" w:hAnsi="仿宋" w:eastAsia="仿宋" w:cs="宋体"/>
          <w:b/>
          <w:bCs/>
          <w:color w:val="000000"/>
          <w:kern w:val="0"/>
          <w:sz w:val="32"/>
          <w:szCs w:val="32"/>
          <w:shd w:val="clear" w:color="auto" w:fill="FFFFFF"/>
        </w:rPr>
        <w:t>2．鼓励品牌</w:t>
      </w:r>
      <w:r>
        <w:rPr>
          <w:rFonts w:hint="eastAsia" w:ascii="仿宋" w:hAnsi="仿宋" w:eastAsia="仿宋" w:cs="宋体"/>
          <w:b/>
          <w:bCs/>
          <w:color w:val="000000" w:themeColor="text1"/>
          <w:kern w:val="0"/>
          <w:sz w:val="32"/>
          <w:szCs w:val="32"/>
          <w:shd w:val="clear" w:color="auto" w:fill="FFFFFF"/>
        </w:rPr>
        <w:t>律师事务所</w:t>
      </w:r>
      <w:r>
        <w:rPr>
          <w:rFonts w:hint="eastAsia" w:ascii="仿宋" w:hAnsi="仿宋" w:eastAsia="仿宋" w:cs="宋体"/>
          <w:b/>
          <w:bCs/>
          <w:color w:val="000000"/>
          <w:kern w:val="0"/>
          <w:sz w:val="32"/>
          <w:szCs w:val="32"/>
          <w:shd w:val="clear" w:color="auto" w:fill="FFFFFF"/>
        </w:rPr>
        <w:t>培育。</w:t>
      </w:r>
      <w:r>
        <w:rPr>
          <w:rFonts w:hint="eastAsia" w:ascii="仿宋" w:hAnsi="仿宋" w:eastAsia="仿宋" w:cs="宋体"/>
          <w:color w:val="000000"/>
          <w:kern w:val="0"/>
          <w:sz w:val="32"/>
          <w:szCs w:val="32"/>
          <w:shd w:val="clear" w:color="auto" w:fill="FFFFFF"/>
        </w:rPr>
        <w:t>对首次获得“全国优秀律师事务所”等国家级称号、“浙江省著名律师事务所”等省级称号的</w:t>
      </w:r>
      <w:r>
        <w:rPr>
          <w:rFonts w:hint="eastAsia" w:ascii="仿宋" w:hAnsi="仿宋" w:eastAsia="仿宋" w:cs="宋体"/>
          <w:color w:val="000000" w:themeColor="text1"/>
          <w:kern w:val="0"/>
          <w:sz w:val="32"/>
          <w:szCs w:val="32"/>
          <w:shd w:val="clear" w:color="auto" w:fill="FFFFFF"/>
        </w:rPr>
        <w:t>律师事务所</w:t>
      </w:r>
      <w:r>
        <w:rPr>
          <w:rFonts w:hint="eastAsia" w:ascii="仿宋" w:hAnsi="仿宋" w:eastAsia="仿宋" w:cs="宋体"/>
          <w:color w:val="000000"/>
          <w:kern w:val="0"/>
          <w:sz w:val="32"/>
          <w:szCs w:val="32"/>
          <w:shd w:val="clear" w:color="auto" w:fill="FFFFFF"/>
        </w:rPr>
        <w:t>，分别给予10万元、5万元的奖励。</w:t>
      </w:r>
    </w:p>
    <w:p>
      <w:pPr>
        <w:pStyle w:val="5"/>
        <w:widowControl/>
        <w:spacing w:beforeAutospacing="0" w:afterAutospacing="0" w:line="555" w:lineRule="atLeast"/>
        <w:ind w:firstLine="645"/>
        <w:rPr>
          <w:rFonts w:ascii="仿宋" w:hAnsi="仿宋" w:eastAsia="仿宋" w:cs="宋体"/>
          <w:color w:val="000000"/>
          <w:sz w:val="32"/>
          <w:szCs w:val="32"/>
          <w:shd w:val="clear" w:color="auto" w:fill="FFFFFF"/>
        </w:rPr>
      </w:pPr>
      <w:r>
        <w:rPr>
          <w:rFonts w:hint="eastAsia" w:ascii="仿宋" w:hAnsi="仿宋" w:eastAsia="仿宋" w:cs="宋体"/>
          <w:b/>
          <w:bCs/>
          <w:color w:val="000000"/>
          <w:sz w:val="32"/>
          <w:szCs w:val="32"/>
          <w:shd w:val="clear" w:color="auto" w:fill="FFFFFF"/>
        </w:rPr>
        <w:t>3．</w:t>
      </w:r>
      <w:r>
        <w:rPr>
          <w:rFonts w:hint="eastAsia" w:ascii="仿宋" w:hAnsi="仿宋" w:eastAsia="仿宋" w:cs="宋体"/>
          <w:b/>
          <w:bCs/>
          <w:color w:val="000000" w:themeColor="text1"/>
          <w:sz w:val="32"/>
          <w:szCs w:val="32"/>
        </w:rPr>
        <w:t>承诺期限要求。</w:t>
      </w:r>
      <w:r>
        <w:rPr>
          <w:rFonts w:hint="eastAsia" w:ascii="仿宋" w:hAnsi="仿宋" w:eastAsia="仿宋" w:cs="宋体"/>
          <w:color w:val="000000" w:themeColor="text1"/>
          <w:sz w:val="32"/>
          <w:szCs w:val="32"/>
        </w:rPr>
        <w:t>律师事务所应承诺在享受政策扶持后，10年内不迁出现执业辖区。对有骗取、截留、挪用、挤占等违反专项资金管理规定行为以及因执业违法违纪受到行业处分或行政处罚的律师事务所实行“一票否决”，并将其列为失信“黑名单”，取消其5年内申请上述专项资金的资格。在服务期间因其它情形需注销或变更到辖区外执业的律师事务所，无法在现执业辖区服务满10年的，需承诺退还上述奖励经费。</w:t>
      </w:r>
    </w:p>
    <w:p>
      <w:pPr>
        <w:widowControl/>
        <w:shd w:val="clear" w:color="auto" w:fill="FFFFFF"/>
        <w:spacing w:line="23" w:lineRule="atLeast"/>
        <w:ind w:firstLine="640"/>
        <w:rPr>
          <w:rFonts w:ascii="仿宋" w:hAnsi="仿宋" w:eastAsia="仿宋" w:cs="宋体"/>
          <w:b/>
          <w:bCs/>
          <w:color w:val="000000"/>
          <w:sz w:val="32"/>
          <w:szCs w:val="32"/>
        </w:rPr>
      </w:pPr>
      <w:r>
        <w:rPr>
          <w:rFonts w:hint="eastAsia" w:ascii="仿宋" w:hAnsi="仿宋" w:eastAsia="仿宋" w:cs="宋体"/>
          <w:b/>
          <w:bCs/>
          <w:color w:val="000000"/>
          <w:kern w:val="0"/>
          <w:sz w:val="32"/>
          <w:szCs w:val="32"/>
          <w:shd w:val="clear" w:color="auto" w:fill="FFFFFF"/>
        </w:rPr>
        <w:t>（二）加大人才培养引进力度。</w:t>
      </w:r>
    </w:p>
    <w:p>
      <w:pPr>
        <w:widowControl/>
        <w:shd w:val="clear" w:color="auto" w:fill="FFFFFF"/>
        <w:spacing w:line="23" w:lineRule="atLeast"/>
        <w:ind w:firstLine="640"/>
        <w:rPr>
          <w:rFonts w:ascii="仿宋" w:hAnsi="仿宋" w:eastAsia="仿宋" w:cs="宋体"/>
          <w:color w:val="000000"/>
          <w:sz w:val="32"/>
          <w:szCs w:val="32"/>
        </w:rPr>
      </w:pPr>
      <w:r>
        <w:rPr>
          <w:rFonts w:hint="eastAsia" w:ascii="仿宋" w:hAnsi="仿宋" w:eastAsia="仿宋" w:cs="宋体"/>
          <w:b/>
          <w:bCs/>
          <w:color w:val="000000"/>
          <w:kern w:val="0"/>
          <w:sz w:val="32"/>
          <w:szCs w:val="32"/>
          <w:shd w:val="clear" w:color="auto" w:fill="FFFFFF"/>
        </w:rPr>
        <w:t>1．加强律师人才培养。</w:t>
      </w:r>
      <w:r>
        <w:rPr>
          <w:rFonts w:hint="eastAsia" w:ascii="仿宋" w:hAnsi="仿宋" w:eastAsia="仿宋" w:cs="宋体"/>
          <w:color w:val="000000"/>
          <w:kern w:val="0"/>
          <w:sz w:val="32"/>
          <w:szCs w:val="32"/>
          <w:shd w:val="clear" w:color="auto" w:fill="FFFFFF"/>
        </w:rPr>
        <w:t>全面实施律师业领军人物、优秀专业（含涉外）律师和优秀青年律师培育行动计划，市财政每年安排财政资金用于律师高端人才培训。设立律师专业技术职称晋级奖励，对晋升为一级、二级律师专业技术职称的，当年分别给予12000元、6000元的奖励。</w:t>
      </w:r>
    </w:p>
    <w:p>
      <w:pPr>
        <w:widowControl/>
        <w:shd w:val="clear" w:color="auto" w:fill="FFFFFF"/>
        <w:spacing w:line="23" w:lineRule="atLeast"/>
        <w:ind w:firstLine="640"/>
        <w:rPr>
          <w:rFonts w:ascii="仿宋" w:hAnsi="仿宋" w:eastAsia="仿宋" w:cs="宋体"/>
          <w:color w:val="000000"/>
          <w:kern w:val="0"/>
          <w:sz w:val="32"/>
          <w:szCs w:val="32"/>
          <w:shd w:val="clear" w:color="auto" w:fill="FFFFFF"/>
        </w:rPr>
      </w:pPr>
      <w:r>
        <w:rPr>
          <w:rFonts w:hint="eastAsia" w:ascii="仿宋" w:hAnsi="仿宋" w:eastAsia="仿宋" w:cs="宋体"/>
          <w:b/>
          <w:bCs/>
          <w:color w:val="000000"/>
          <w:kern w:val="0"/>
          <w:sz w:val="32"/>
          <w:szCs w:val="32"/>
          <w:shd w:val="clear" w:color="auto" w:fill="FFFFFF"/>
        </w:rPr>
        <w:t>2．加强律师人才引进。</w:t>
      </w:r>
      <w:r>
        <w:rPr>
          <w:rFonts w:hint="eastAsia" w:ascii="仿宋" w:hAnsi="仿宋" w:eastAsia="仿宋" w:cs="宋体"/>
          <w:color w:val="000000" w:themeColor="text1"/>
          <w:sz w:val="32"/>
          <w:szCs w:val="32"/>
        </w:rPr>
        <w:t>引进一级、二级（或博士、硕士学位）的执业律师，在本地缴纳社保满一年的，按计税报酬的20%给予律师事务所最高2万元、1万元的薪酬补贴，连续补贴2年。</w:t>
      </w:r>
    </w:p>
    <w:p>
      <w:pPr>
        <w:widowControl/>
        <w:shd w:val="clear" w:color="auto" w:fill="FFFFFF"/>
        <w:spacing w:line="23" w:lineRule="atLeast"/>
        <w:ind w:firstLine="640"/>
        <w:rPr>
          <w:rFonts w:ascii="仿宋" w:hAnsi="仿宋" w:eastAsia="仿宋" w:cs="宋体"/>
          <w:color w:val="000000"/>
          <w:sz w:val="32"/>
          <w:szCs w:val="32"/>
        </w:rPr>
      </w:pPr>
      <w:r>
        <w:rPr>
          <w:rFonts w:hint="eastAsia" w:ascii="仿宋" w:hAnsi="仿宋" w:eastAsia="仿宋" w:cs="宋体"/>
          <w:b/>
          <w:bCs/>
          <w:color w:val="000000"/>
          <w:kern w:val="0"/>
          <w:sz w:val="32"/>
          <w:szCs w:val="32"/>
          <w:shd w:val="clear" w:color="auto" w:fill="FFFFFF"/>
        </w:rPr>
        <w:t>3．加强行业主体责任。</w:t>
      </w:r>
      <w:r>
        <w:rPr>
          <w:rFonts w:hint="eastAsia" w:ascii="仿宋" w:hAnsi="仿宋" w:eastAsia="仿宋" w:cs="宋体"/>
          <w:color w:val="000000"/>
          <w:kern w:val="0"/>
          <w:sz w:val="32"/>
          <w:szCs w:val="32"/>
          <w:shd w:val="clear" w:color="auto" w:fill="FFFFFF"/>
        </w:rPr>
        <w:t>律师协会和律师事务所是律师培养的主体，律师协会和律师事务所应当安排一定的经费用于青年律师培养，律师事务所获得的奖励资金应当主要用于青年律师培养。</w:t>
      </w:r>
    </w:p>
    <w:p>
      <w:pPr>
        <w:widowControl/>
        <w:shd w:val="clear" w:color="auto" w:fill="FFFFFF"/>
        <w:spacing w:line="23" w:lineRule="atLeast"/>
        <w:ind w:firstLine="640"/>
        <w:rPr>
          <w:rFonts w:ascii="仿宋" w:hAnsi="仿宋" w:eastAsia="仿宋" w:cs="宋体"/>
          <w:b/>
          <w:bCs/>
          <w:color w:val="000000"/>
          <w:kern w:val="0"/>
          <w:sz w:val="32"/>
          <w:szCs w:val="32"/>
          <w:shd w:val="clear" w:color="auto" w:fill="FFFFFF"/>
        </w:rPr>
      </w:pPr>
      <w:r>
        <w:rPr>
          <w:rFonts w:hint="eastAsia" w:ascii="仿宋" w:hAnsi="仿宋" w:eastAsia="仿宋" w:cs="宋体"/>
          <w:b/>
          <w:bCs/>
          <w:color w:val="000000"/>
          <w:kern w:val="0"/>
          <w:sz w:val="32"/>
          <w:szCs w:val="32"/>
          <w:shd w:val="clear" w:color="auto" w:fill="FFFFFF"/>
        </w:rPr>
        <w:t>（三）完善政府购买法律服务机制。</w:t>
      </w:r>
    </w:p>
    <w:p>
      <w:pPr>
        <w:widowControl/>
        <w:shd w:val="clear" w:color="auto" w:fill="FFFFFF"/>
        <w:spacing w:line="23" w:lineRule="atLeast"/>
        <w:ind w:firstLine="640"/>
        <w:rPr>
          <w:rFonts w:ascii="仿宋" w:hAnsi="仿宋" w:eastAsia="仿宋" w:cs="宋体"/>
          <w:color w:val="000000"/>
          <w:kern w:val="0"/>
          <w:sz w:val="32"/>
          <w:szCs w:val="32"/>
          <w:shd w:val="clear" w:color="auto" w:fill="FFFFFF"/>
        </w:rPr>
      </w:pPr>
      <w:r>
        <w:rPr>
          <w:rFonts w:hint="eastAsia" w:ascii="仿宋" w:hAnsi="仿宋" w:eastAsia="仿宋" w:cs="宋体"/>
          <w:color w:val="000000" w:themeColor="text1"/>
          <w:kern w:val="0"/>
          <w:sz w:val="32"/>
          <w:szCs w:val="32"/>
          <w:shd w:val="clear" w:color="auto" w:fill="FFFFFF"/>
        </w:rPr>
        <w:t>通过政府购买服务方式，充分发挥律师协会、律师事务所等社会力量的作用，推进公共法律服务事业发展。将律师担任党政机关、人民团体和村（社区）法律顾问、办理法律援助案件、参与信访接待和处理、参与调解及律师派驻公检法机关和公共法律服务中心值班等事项，统筹列入政府购买服务目录，根据经济社会发展水平合理确定并动态调整政府购买法律服务的经费标准。</w:t>
      </w:r>
      <w:r>
        <w:rPr>
          <w:rFonts w:hint="eastAsia" w:ascii="仿宋" w:hAnsi="仿宋" w:eastAsia="仿宋" w:cs="宋体"/>
          <w:color w:val="000000"/>
          <w:kern w:val="0"/>
          <w:sz w:val="32"/>
          <w:szCs w:val="32"/>
          <w:shd w:val="clear" w:color="auto" w:fill="FFFFFF"/>
        </w:rPr>
        <w:t>具体办法由司法行政部门会同财政部门制定。</w:t>
      </w:r>
    </w:p>
    <w:p>
      <w:pPr>
        <w:widowControl/>
        <w:shd w:val="clear" w:color="auto" w:fill="FFFFFF"/>
        <w:spacing w:line="23" w:lineRule="atLeast"/>
        <w:ind w:firstLine="640"/>
        <w:rPr>
          <w:rFonts w:ascii="仿宋" w:hAnsi="仿宋" w:eastAsia="仿宋" w:cs="宋体"/>
          <w:color w:val="000000" w:themeColor="text1"/>
          <w:kern w:val="0"/>
          <w:sz w:val="32"/>
          <w:szCs w:val="32"/>
          <w:shd w:val="clear" w:color="auto" w:fill="FFFFFF"/>
        </w:rPr>
      </w:pPr>
      <w:r>
        <w:rPr>
          <w:rFonts w:hint="eastAsia" w:ascii="仿宋" w:hAnsi="仿宋" w:eastAsia="仿宋" w:cs="宋体"/>
          <w:color w:val="000000" w:themeColor="text1"/>
          <w:kern w:val="0"/>
          <w:sz w:val="32"/>
          <w:szCs w:val="32"/>
          <w:shd w:val="clear" w:color="auto" w:fill="FFFFFF"/>
        </w:rPr>
        <w:t>加强村（社区）法律顾问工作，完善村（社区）法律顾问经费保障和考核机制，婺城区、金东区、金华开发区、东阳、义乌、永康的村（社区）法律顾问经费，由当地财政按照每村（社区）每年不低于2000元的标准给予补助；其他县（市）由当地财政按照每村（社区）每年不低于1500元的标准给予补助。</w:t>
      </w:r>
    </w:p>
    <w:p>
      <w:pPr>
        <w:pStyle w:val="5"/>
        <w:widowControl/>
        <w:spacing w:beforeAutospacing="0" w:afterAutospacing="0" w:line="555" w:lineRule="atLeast"/>
        <w:ind w:firstLine="645"/>
        <w:rPr>
          <w:rFonts w:ascii="仿宋" w:hAnsi="仿宋" w:eastAsia="仿宋" w:cs="宋体"/>
          <w:b/>
          <w:bCs/>
          <w:color w:val="000000" w:themeColor="text1"/>
          <w:sz w:val="32"/>
          <w:szCs w:val="32"/>
        </w:rPr>
      </w:pPr>
      <w:r>
        <w:rPr>
          <w:rFonts w:hint="eastAsia" w:ascii="仿宋" w:hAnsi="仿宋" w:eastAsia="仿宋" w:cs="宋体"/>
          <w:b/>
          <w:bCs/>
          <w:color w:val="000000" w:themeColor="text1"/>
          <w:sz w:val="32"/>
          <w:szCs w:val="32"/>
        </w:rPr>
        <w:t>(四）强化公职律师队伍建设。</w:t>
      </w:r>
    </w:p>
    <w:p>
      <w:pPr>
        <w:pStyle w:val="5"/>
        <w:widowControl/>
        <w:spacing w:beforeAutospacing="0" w:afterAutospacing="0" w:line="555" w:lineRule="atLeast"/>
        <w:ind w:firstLine="645"/>
        <w:rPr>
          <w:rFonts w:ascii="仿宋" w:hAnsi="仿宋" w:eastAsia="仿宋" w:cs="宋体"/>
          <w:color w:val="000000" w:themeColor="text1"/>
          <w:sz w:val="32"/>
          <w:szCs w:val="32"/>
          <w:shd w:val="clear" w:color="auto" w:fill="FFFFFF"/>
        </w:rPr>
      </w:pPr>
      <w:r>
        <w:rPr>
          <w:rFonts w:hint="eastAsia" w:ascii="仿宋" w:hAnsi="仿宋" w:eastAsia="仿宋" w:cs="宋体"/>
          <w:color w:val="000000" w:themeColor="text1"/>
          <w:sz w:val="32"/>
          <w:szCs w:val="32"/>
        </w:rPr>
        <w:t>鼓励符合条件的党政机关工作人员参加国家统一法律职业资格考试，并为报考人员提供必要的考前复习时间。相关费用报销事项按干部教育培训文件执行。公职律师所在单位要建立健全公职律师年度考核制度，对本单位的公职律师出具考核鉴定意见。公职律师所在单位对公职律师的执业活动应给予支持、帮助和鼓励，提供必要的经费保障。探索将公职律师与法律顾问等工作相结合，更大限度地发挥公职律师的作用。</w:t>
      </w:r>
    </w:p>
    <w:p>
      <w:pPr>
        <w:pStyle w:val="5"/>
        <w:widowControl/>
        <w:spacing w:beforeAutospacing="0" w:afterAutospacing="0" w:line="555" w:lineRule="atLeast"/>
        <w:ind w:firstLine="645"/>
        <w:rPr>
          <w:rFonts w:ascii="仿宋" w:hAnsi="仿宋" w:eastAsia="仿宋" w:cs="宋体"/>
          <w:color w:val="000000" w:themeColor="text1"/>
          <w:sz w:val="32"/>
          <w:szCs w:val="32"/>
        </w:rPr>
      </w:pPr>
      <w:r>
        <w:rPr>
          <w:rFonts w:hint="eastAsia" w:ascii="仿宋" w:hAnsi="仿宋" w:eastAsia="仿宋" w:cs="宋体"/>
          <w:b/>
          <w:bCs/>
          <w:color w:val="000000" w:themeColor="text1"/>
          <w:sz w:val="32"/>
          <w:szCs w:val="32"/>
          <w:shd w:val="clear" w:color="auto" w:fill="FFFFFF"/>
        </w:rPr>
        <w:t>（五）</w:t>
      </w:r>
      <w:r>
        <w:rPr>
          <w:rFonts w:hint="eastAsia" w:ascii="仿宋" w:hAnsi="仿宋" w:eastAsia="仿宋" w:cs="宋体"/>
          <w:b/>
          <w:bCs/>
          <w:color w:val="000000" w:themeColor="text1"/>
          <w:sz w:val="32"/>
          <w:szCs w:val="32"/>
        </w:rPr>
        <w:t>优化律师执业环境</w:t>
      </w:r>
    </w:p>
    <w:p>
      <w:pPr>
        <w:pStyle w:val="5"/>
        <w:widowControl/>
        <w:spacing w:beforeAutospacing="0" w:afterAutospacing="0" w:line="555" w:lineRule="atLeast"/>
        <w:ind w:firstLine="645"/>
        <w:rPr>
          <w:rFonts w:ascii="仿宋" w:hAnsi="仿宋" w:eastAsia="仿宋" w:cs="宋体"/>
          <w:color w:val="000000" w:themeColor="text1"/>
          <w:sz w:val="32"/>
          <w:szCs w:val="32"/>
        </w:rPr>
      </w:pPr>
      <w:r>
        <w:rPr>
          <w:rFonts w:hint="eastAsia" w:ascii="仿宋" w:hAnsi="仿宋" w:eastAsia="仿宋" w:cs="宋体"/>
          <w:b/>
          <w:bCs/>
          <w:color w:val="000000"/>
          <w:sz w:val="32"/>
          <w:szCs w:val="32"/>
          <w:shd w:val="clear" w:color="auto" w:fill="FFFFFF"/>
        </w:rPr>
        <w:t>1．</w:t>
      </w:r>
      <w:r>
        <w:rPr>
          <w:rFonts w:hint="eastAsia" w:ascii="仿宋" w:hAnsi="仿宋" w:eastAsia="仿宋" w:cs="宋体"/>
          <w:b/>
          <w:bCs/>
          <w:color w:val="000000" w:themeColor="text1"/>
          <w:sz w:val="32"/>
          <w:szCs w:val="32"/>
        </w:rPr>
        <w:t>引导律师参政议政。</w:t>
      </w:r>
      <w:r>
        <w:rPr>
          <w:rFonts w:hint="eastAsia" w:ascii="仿宋" w:hAnsi="仿宋" w:eastAsia="仿宋" w:cs="宋体"/>
          <w:color w:val="000000" w:themeColor="text1"/>
          <w:sz w:val="32"/>
          <w:szCs w:val="32"/>
        </w:rPr>
        <w:t>强化律师行业党的建设，加强党对律师工作的全面领导，引导律师积极服务党委政府中心工作。推荐有意向有能力的律师加入“两代表一委员”队伍，充分发挥律师界“两代表一委员”在政治生活和社会管理中的作用，引导律师通过团体参政议政、建言献策。吸收律师参加各级各类咨询委员会及专家委员会，充分发挥律师在推进司法改革、法治建设中的作用。</w:t>
      </w:r>
    </w:p>
    <w:p>
      <w:pPr>
        <w:pStyle w:val="5"/>
        <w:widowControl/>
        <w:spacing w:beforeAutospacing="0" w:afterAutospacing="0" w:line="555" w:lineRule="atLeast"/>
        <w:ind w:firstLine="645"/>
        <w:rPr>
          <w:rFonts w:ascii="仿宋" w:hAnsi="仿宋" w:eastAsia="仿宋" w:cs="宋体"/>
          <w:color w:val="000000" w:themeColor="text1"/>
          <w:sz w:val="32"/>
          <w:szCs w:val="32"/>
        </w:rPr>
      </w:pPr>
      <w:r>
        <w:rPr>
          <w:rFonts w:hint="eastAsia" w:ascii="仿宋" w:hAnsi="仿宋" w:eastAsia="仿宋" w:cs="宋体"/>
          <w:b/>
          <w:bCs/>
          <w:color w:val="000000"/>
          <w:sz w:val="32"/>
          <w:szCs w:val="32"/>
          <w:shd w:val="clear" w:color="auto" w:fill="FFFFFF"/>
        </w:rPr>
        <w:t>2．</w:t>
      </w:r>
      <w:r>
        <w:rPr>
          <w:rFonts w:hint="eastAsia" w:ascii="仿宋" w:hAnsi="仿宋" w:eastAsia="仿宋" w:cs="宋体"/>
          <w:b/>
          <w:bCs/>
          <w:color w:val="000000" w:themeColor="text1"/>
          <w:sz w:val="32"/>
          <w:szCs w:val="32"/>
        </w:rPr>
        <w:t>强化律师权利保障。</w:t>
      </w:r>
      <w:r>
        <w:rPr>
          <w:rFonts w:hint="eastAsia" w:ascii="仿宋" w:hAnsi="仿宋" w:eastAsia="仿宋" w:cs="宋体"/>
          <w:color w:val="000000" w:themeColor="text1"/>
          <w:sz w:val="32"/>
          <w:szCs w:val="32"/>
          <w:shd w:val="clear" w:color="auto" w:fill="FFFFFF"/>
        </w:rPr>
        <w:t>切实保障律师办理诉讼和非诉讼法律业务时的调查取证权。由市司法局牵头，有关单位配合，出台有关依法保障律师调查取证权的规范性文件。切实保障《中华人民共和国刑事诉讼法》规定的律师会见权，尽快解决我市刑事案件辩护全覆盖后看守所会见室不足的问题，为律师会见在押人员提供基本的便利条件。</w:t>
      </w:r>
    </w:p>
    <w:p>
      <w:pPr>
        <w:widowControl/>
        <w:shd w:val="clear" w:color="auto" w:fill="FFFFFF"/>
        <w:spacing w:line="23" w:lineRule="atLeast"/>
        <w:ind w:firstLine="640"/>
        <w:rPr>
          <w:rFonts w:ascii="仿宋" w:hAnsi="仿宋" w:eastAsia="仿宋" w:cs="宋体"/>
          <w:color w:val="000000" w:themeColor="text1"/>
          <w:sz w:val="32"/>
          <w:szCs w:val="32"/>
        </w:rPr>
      </w:pPr>
      <w:r>
        <w:rPr>
          <w:rFonts w:hint="eastAsia" w:ascii="仿宋" w:hAnsi="仿宋" w:eastAsia="仿宋" w:cs="宋体"/>
          <w:b/>
          <w:bCs/>
          <w:color w:val="000000"/>
          <w:kern w:val="0"/>
          <w:sz w:val="32"/>
          <w:szCs w:val="32"/>
          <w:shd w:val="clear" w:color="auto" w:fill="FFFFFF"/>
        </w:rPr>
        <w:t>3．</w:t>
      </w:r>
      <w:r>
        <w:rPr>
          <w:rFonts w:hint="eastAsia" w:ascii="仿宋" w:hAnsi="仿宋" w:eastAsia="仿宋" w:cs="宋体"/>
          <w:b/>
          <w:bCs/>
          <w:color w:val="000000" w:themeColor="text1"/>
          <w:sz w:val="32"/>
          <w:szCs w:val="32"/>
        </w:rPr>
        <w:t>规范法律服务市场。</w:t>
      </w:r>
      <w:r>
        <w:rPr>
          <w:rFonts w:hint="eastAsia" w:ascii="仿宋" w:hAnsi="仿宋" w:eastAsia="仿宋" w:cs="宋体"/>
          <w:color w:val="000000" w:themeColor="text1"/>
          <w:kern w:val="0"/>
          <w:sz w:val="32"/>
          <w:szCs w:val="32"/>
          <w:shd w:val="clear" w:color="auto" w:fill="FFFFFF"/>
        </w:rPr>
        <w:t>依法厘定社会律师与公职律师、公司律师和基层法律服务工作者的业务范围，规范公民代理诉讼行为。加强对法律服务咨询类公司设立和经营活动的监管。探索建立市场监管、司法行政、公安、税务等多部门监管联动机制，开展联合执法行动，</w:t>
      </w:r>
      <w:r>
        <w:rPr>
          <w:rFonts w:hint="eastAsia" w:ascii="仿宋" w:hAnsi="仿宋" w:eastAsia="仿宋" w:cs="宋体"/>
          <w:color w:val="000000" w:themeColor="text1"/>
          <w:sz w:val="32"/>
          <w:szCs w:val="32"/>
        </w:rPr>
        <w:t>依法查处取缔从事法律服务业务的违法经营主体、场所，依法查处超经营范围从事诉讼代理或者辩护业务的社会法律服务机构。</w:t>
      </w:r>
    </w:p>
    <w:p>
      <w:pPr>
        <w:widowControl/>
        <w:shd w:val="clear" w:color="auto" w:fill="FFFFFF"/>
        <w:spacing w:line="23" w:lineRule="atLeast"/>
        <w:ind w:firstLine="640"/>
        <w:rPr>
          <w:rFonts w:ascii="黑体" w:hAnsi="黑体" w:eastAsia="黑体" w:cs="黑体"/>
          <w:color w:val="000000"/>
          <w:sz w:val="32"/>
          <w:szCs w:val="32"/>
        </w:rPr>
      </w:pPr>
      <w:r>
        <w:rPr>
          <w:rFonts w:hint="eastAsia" w:ascii="黑体" w:hAnsi="黑体" w:eastAsia="黑体" w:cs="黑体"/>
          <w:color w:val="000000"/>
          <w:kern w:val="0"/>
          <w:sz w:val="32"/>
          <w:szCs w:val="32"/>
          <w:shd w:val="clear" w:color="auto" w:fill="FFFFFF"/>
        </w:rPr>
        <w:t>四、保障措施</w:t>
      </w:r>
    </w:p>
    <w:p>
      <w:pPr>
        <w:widowControl/>
        <w:shd w:val="clear" w:color="auto" w:fill="FFFFFF"/>
        <w:spacing w:line="23" w:lineRule="atLeast"/>
        <w:ind w:firstLine="640"/>
        <w:rPr>
          <w:rFonts w:ascii="仿宋" w:hAnsi="仿宋" w:eastAsia="仿宋" w:cs="宋体"/>
          <w:color w:val="000000"/>
          <w:sz w:val="32"/>
          <w:szCs w:val="32"/>
        </w:rPr>
      </w:pPr>
      <w:r>
        <w:rPr>
          <w:rFonts w:hint="eastAsia" w:ascii="仿宋" w:hAnsi="仿宋" w:eastAsia="仿宋" w:cs="宋体"/>
          <w:b/>
          <w:bCs/>
          <w:color w:val="000000"/>
          <w:kern w:val="0"/>
          <w:sz w:val="32"/>
          <w:szCs w:val="32"/>
          <w:shd w:val="clear" w:color="auto" w:fill="FFFFFF"/>
        </w:rPr>
        <w:t>（一）加强组织领导。</w:t>
      </w:r>
      <w:r>
        <w:rPr>
          <w:rFonts w:hint="eastAsia" w:ascii="仿宋" w:hAnsi="仿宋" w:eastAsia="仿宋" w:cs="宋体"/>
          <w:color w:val="000000"/>
          <w:kern w:val="0"/>
          <w:sz w:val="32"/>
          <w:szCs w:val="32"/>
          <w:shd w:val="clear" w:color="auto" w:fill="FFFFFF"/>
        </w:rPr>
        <w:t>各县（市、区）政府要切实提高对律师业发展重要性的认识，制定本地区扶持律师业发展的具体措施，切实解决本地区律师业发展短板和律师执业权益保障方面的突出问题，充分发挥律师在服务经济社会发展、促进社会公平正义、推进法治金华、平安金华建设等方面的重要作用。</w:t>
      </w:r>
    </w:p>
    <w:p>
      <w:pPr>
        <w:widowControl/>
        <w:shd w:val="clear" w:color="auto" w:fill="FFFFFF"/>
        <w:spacing w:line="23" w:lineRule="atLeast"/>
        <w:ind w:firstLine="640"/>
        <w:rPr>
          <w:rFonts w:ascii="仿宋" w:hAnsi="仿宋" w:eastAsia="仿宋" w:cs="宋体"/>
          <w:color w:val="000000"/>
          <w:sz w:val="32"/>
          <w:szCs w:val="32"/>
        </w:rPr>
      </w:pPr>
      <w:r>
        <w:rPr>
          <w:rFonts w:hint="eastAsia" w:ascii="仿宋" w:hAnsi="仿宋" w:eastAsia="仿宋" w:cs="宋体"/>
          <w:b/>
          <w:bCs/>
          <w:color w:val="000000"/>
          <w:kern w:val="0"/>
          <w:sz w:val="32"/>
          <w:szCs w:val="32"/>
          <w:shd w:val="clear" w:color="auto" w:fill="FFFFFF"/>
        </w:rPr>
        <w:t>（二）强化财政保障。</w:t>
      </w:r>
      <w:r>
        <w:rPr>
          <w:rFonts w:hint="eastAsia" w:ascii="仿宋" w:hAnsi="仿宋" w:eastAsia="仿宋" w:cs="宋体"/>
          <w:color w:val="000000"/>
          <w:kern w:val="0"/>
          <w:sz w:val="32"/>
          <w:szCs w:val="32"/>
          <w:shd w:val="clear" w:color="auto" w:fill="FFFFFF"/>
        </w:rPr>
        <w:t>本意见中涉及的扶持政策与其他同类政策重复交叉的，按照从优从高、不重复的原则执行，不溯及既往。当地政府要安排专项经费用于提升本地区律师队伍业务能力，扶持政策所涉及的资金，按照律师事务所税收隶属关系由属地财政予以保障。各县（市、区）可以根据本地实际制定高于市级标准的律师业扶持政策。</w:t>
      </w:r>
    </w:p>
    <w:p>
      <w:pPr>
        <w:widowControl/>
        <w:shd w:val="clear" w:color="auto" w:fill="FFFFFF"/>
        <w:spacing w:line="23" w:lineRule="atLeast"/>
        <w:ind w:firstLine="640"/>
        <w:rPr>
          <w:rFonts w:ascii="仿宋" w:hAnsi="仿宋" w:eastAsia="仿宋" w:cs="宋体"/>
          <w:color w:val="000000"/>
          <w:sz w:val="32"/>
          <w:szCs w:val="32"/>
        </w:rPr>
      </w:pPr>
      <w:r>
        <w:rPr>
          <w:rFonts w:hint="eastAsia" w:ascii="仿宋" w:hAnsi="仿宋" w:eastAsia="仿宋" w:cs="宋体"/>
          <w:b/>
          <w:bCs/>
          <w:color w:val="000000"/>
          <w:kern w:val="0"/>
          <w:sz w:val="32"/>
          <w:szCs w:val="32"/>
          <w:shd w:val="clear" w:color="auto" w:fill="FFFFFF"/>
        </w:rPr>
        <w:t>（三）确保政策落地。</w:t>
      </w:r>
      <w:r>
        <w:rPr>
          <w:rFonts w:hint="eastAsia" w:ascii="仿宋" w:hAnsi="仿宋" w:eastAsia="仿宋" w:cs="宋体"/>
          <w:color w:val="000000"/>
          <w:kern w:val="0"/>
          <w:sz w:val="32"/>
          <w:szCs w:val="32"/>
          <w:shd w:val="clear" w:color="auto" w:fill="FFFFFF"/>
        </w:rPr>
        <w:t>各级司法行政部门要切实抓好律师行业发展规划，督促各项扶持政策落地见效，扎实推进“名所名品名律师”培育工程，积极引导律师事务所做大做强、做专做精，切实提升律师行业规模化、专业化、品牌化、国际化水平，促进金华律师业健康持续发展。</w:t>
      </w:r>
    </w:p>
    <w:p>
      <w:pPr>
        <w:widowControl/>
        <w:shd w:val="clear" w:color="auto" w:fill="FFFFFF"/>
        <w:spacing w:line="23" w:lineRule="atLeast"/>
        <w:ind w:firstLine="640"/>
        <w:rPr>
          <w:rFonts w:ascii="仿宋" w:hAnsi="仿宋" w:eastAsia="仿宋" w:cs="宋体"/>
          <w:color w:val="000000"/>
          <w:kern w:val="0"/>
          <w:sz w:val="32"/>
          <w:szCs w:val="32"/>
          <w:shd w:val="clear" w:color="auto" w:fill="FFFFFF"/>
        </w:rPr>
      </w:pPr>
    </w:p>
    <w:p>
      <w:pPr>
        <w:widowControl/>
        <w:shd w:val="clear" w:color="auto" w:fill="FFFFFF"/>
        <w:spacing w:line="23" w:lineRule="atLeast"/>
        <w:ind w:firstLine="640"/>
        <w:rPr>
          <w:rFonts w:ascii="仿宋" w:hAnsi="仿宋" w:eastAsia="仿宋" w:cs="宋体"/>
          <w:color w:val="000000"/>
          <w:kern w:val="0"/>
          <w:sz w:val="32"/>
          <w:szCs w:val="32"/>
          <w:shd w:val="clear" w:color="auto" w:fill="FFFFFF"/>
        </w:rPr>
      </w:pPr>
      <w:r>
        <w:rPr>
          <w:rFonts w:hint="eastAsia" w:ascii="仿宋" w:hAnsi="仿宋" w:eastAsia="仿宋" w:cs="宋体"/>
          <w:color w:val="000000"/>
          <w:kern w:val="0"/>
          <w:sz w:val="32"/>
          <w:szCs w:val="32"/>
          <w:shd w:val="clear" w:color="auto" w:fill="FFFFFF"/>
        </w:rPr>
        <w:t>附件：各县（市、区）三名工程建设任务分解表（截至2022年）</w:t>
      </w:r>
    </w:p>
    <w:p>
      <w:pPr>
        <w:widowControl/>
        <w:spacing w:before="100" w:beforeAutospacing="1" w:after="100" w:afterAutospacing="1"/>
        <w:jc w:val="right"/>
        <w:rPr>
          <w:rFonts w:ascii="仿宋" w:hAnsi="仿宋" w:eastAsia="仿宋" w:cs="宋体"/>
          <w:kern w:val="0"/>
          <w:sz w:val="32"/>
          <w:szCs w:val="32"/>
        </w:rPr>
      </w:pPr>
    </w:p>
    <w:p>
      <w:pPr>
        <w:widowControl/>
        <w:spacing w:before="100" w:beforeAutospacing="1" w:after="100" w:afterAutospacing="1"/>
        <w:ind w:right="640" w:firstLine="4000" w:firstLineChars="1250"/>
        <w:rPr>
          <w:rFonts w:ascii="仿宋" w:hAnsi="仿宋" w:eastAsia="仿宋" w:cs="宋体"/>
          <w:kern w:val="0"/>
          <w:sz w:val="32"/>
          <w:szCs w:val="32"/>
        </w:rPr>
      </w:pPr>
      <w:r>
        <w:rPr>
          <w:rFonts w:hint="eastAsia" w:ascii="仿宋" w:hAnsi="仿宋" w:eastAsia="仿宋" w:cs="宋体"/>
          <w:kern w:val="0"/>
          <w:sz w:val="32"/>
          <w:szCs w:val="32"/>
        </w:rPr>
        <w:t xml:space="preserve">  金华市人民政府办公室</w:t>
      </w:r>
    </w:p>
    <w:p>
      <w:pPr>
        <w:widowControl/>
        <w:spacing w:before="100" w:beforeAutospacing="1" w:after="100" w:afterAutospacing="1"/>
        <w:jc w:val="center"/>
        <w:rPr>
          <w:rFonts w:ascii="仿宋" w:hAnsi="仿宋" w:eastAsia="仿宋" w:cs="宋体"/>
          <w:kern w:val="0"/>
          <w:sz w:val="32"/>
          <w:szCs w:val="32"/>
        </w:rPr>
      </w:pPr>
      <w:r>
        <w:rPr>
          <w:rFonts w:hint="eastAsia" w:ascii="仿宋" w:hAnsi="仿宋" w:eastAsia="仿宋" w:cs="宋体"/>
          <w:kern w:val="0"/>
          <w:sz w:val="32"/>
          <w:szCs w:val="32"/>
        </w:rPr>
        <w:t xml:space="preserve">                  2019年    月    日</w:t>
      </w:r>
    </w:p>
    <w:p>
      <w:pPr>
        <w:widowControl/>
        <w:spacing w:before="100" w:beforeAutospacing="1" w:after="100" w:afterAutospacing="1"/>
        <w:jc w:val="center"/>
        <w:rPr>
          <w:rFonts w:ascii="宋体" w:hAnsi="宋体" w:cs="宋体"/>
          <w:kern w:val="0"/>
          <w:sz w:val="44"/>
          <w:szCs w:val="44"/>
        </w:rPr>
      </w:pPr>
      <w:r>
        <w:rPr>
          <w:rFonts w:hint="eastAsia" w:ascii="宋体" w:hAnsi="宋体" w:cs="宋体"/>
          <w:kern w:val="0"/>
          <w:sz w:val="44"/>
          <w:szCs w:val="44"/>
        </w:rPr>
        <w:t>各县（市、区）三名工程建设任务分解表</w:t>
      </w:r>
    </w:p>
    <w:tbl>
      <w:tblPr>
        <w:tblStyle w:val="7"/>
        <w:tblW w:w="7919" w:type="dxa"/>
        <w:jc w:val="center"/>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267"/>
        <w:gridCol w:w="2474"/>
        <w:gridCol w:w="2176"/>
        <w:gridCol w:w="200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1171" w:hRule="atLeast"/>
          <w:tblCellSpacing w:w="15" w:type="dxa"/>
          <w:jc w:val="center"/>
        </w:trPr>
        <w:tc>
          <w:tcPr>
            <w:tcW w:w="1222" w:type="dxa"/>
            <w:tcBorders>
              <w:top w:val="outset" w:color="auto" w:sz="6" w:space="0"/>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cs="宋体"/>
                <w:kern w:val="0"/>
                <w:sz w:val="24"/>
              </w:rPr>
            </w:pPr>
            <w:r>
              <w:rPr>
                <w:rFonts w:ascii="宋体" w:hAnsi="宋体" w:cs="宋体"/>
                <w:kern w:val="0"/>
                <w:sz w:val="24"/>
              </w:rPr>
              <w:t>区域</w:t>
            </w:r>
          </w:p>
        </w:tc>
        <w:tc>
          <w:tcPr>
            <w:tcW w:w="2444"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cs="宋体"/>
                <w:kern w:val="0"/>
                <w:sz w:val="24"/>
              </w:rPr>
            </w:pPr>
            <w:r>
              <w:rPr>
                <w:rFonts w:ascii="宋体" w:hAnsi="宋体" w:cs="宋体"/>
                <w:kern w:val="0"/>
                <w:sz w:val="24"/>
              </w:rPr>
              <w:t>综合性品牌规模所（家）</w:t>
            </w:r>
          </w:p>
        </w:tc>
        <w:tc>
          <w:tcPr>
            <w:tcW w:w="2146"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cs="宋体"/>
                <w:kern w:val="0"/>
                <w:sz w:val="24"/>
              </w:rPr>
            </w:pPr>
            <w:r>
              <w:rPr>
                <w:rFonts w:ascii="宋体" w:hAnsi="宋体" w:cs="宋体"/>
                <w:kern w:val="0"/>
                <w:sz w:val="24"/>
              </w:rPr>
              <w:t>专业特色强所（家）</w:t>
            </w:r>
          </w:p>
        </w:tc>
        <w:tc>
          <w:tcPr>
            <w:tcW w:w="1957"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cs="宋体"/>
                <w:kern w:val="0"/>
                <w:sz w:val="24"/>
              </w:rPr>
            </w:pPr>
            <w:r>
              <w:rPr>
                <w:rFonts w:ascii="宋体" w:hAnsi="宋体" w:cs="宋体"/>
                <w:kern w:val="0"/>
                <w:sz w:val="24"/>
              </w:rPr>
              <w:t>名律师（人）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blCellSpacing w:w="15" w:type="dxa"/>
          <w:jc w:val="center"/>
        </w:trPr>
        <w:tc>
          <w:tcPr>
            <w:tcW w:w="1222" w:type="dxa"/>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rPr>
                <w:rFonts w:ascii="宋体" w:hAnsi="宋体" w:cs="宋体"/>
                <w:kern w:val="0"/>
                <w:sz w:val="24"/>
              </w:rPr>
            </w:pPr>
            <w:r>
              <w:rPr>
                <w:rFonts w:hint="eastAsia" w:ascii="宋体" w:hAnsi="宋体" w:cs="宋体"/>
                <w:kern w:val="0"/>
                <w:sz w:val="24"/>
              </w:rPr>
              <w:t xml:space="preserve">市 </w:t>
            </w:r>
            <w:r>
              <w:rPr>
                <w:rFonts w:ascii="宋体" w:hAnsi="宋体" w:cs="宋体"/>
                <w:kern w:val="0"/>
                <w:sz w:val="24"/>
              </w:rPr>
              <w:t>直</w:t>
            </w:r>
          </w:p>
        </w:tc>
        <w:tc>
          <w:tcPr>
            <w:tcW w:w="2444"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cs="宋体"/>
                <w:kern w:val="0"/>
                <w:sz w:val="24"/>
              </w:rPr>
            </w:pPr>
            <w:r>
              <w:rPr>
                <w:rFonts w:ascii="宋体" w:hAnsi="宋体" w:cs="宋体"/>
                <w:kern w:val="0"/>
                <w:sz w:val="24"/>
              </w:rPr>
              <w:t>5</w:t>
            </w:r>
          </w:p>
        </w:tc>
        <w:tc>
          <w:tcPr>
            <w:tcW w:w="2146"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cs="宋体"/>
                <w:kern w:val="0"/>
                <w:sz w:val="24"/>
              </w:rPr>
            </w:pPr>
            <w:r>
              <w:rPr>
                <w:rFonts w:hint="eastAsia" w:ascii="宋体" w:hAnsi="宋体" w:cs="宋体"/>
                <w:kern w:val="0"/>
                <w:sz w:val="24"/>
              </w:rPr>
              <w:t>3</w:t>
            </w:r>
          </w:p>
        </w:tc>
        <w:tc>
          <w:tcPr>
            <w:tcW w:w="1957"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cs="宋体"/>
                <w:kern w:val="0"/>
                <w:sz w:val="24"/>
              </w:rPr>
            </w:pPr>
            <w:r>
              <w:rPr>
                <w:rFonts w:hint="eastAsia" w:ascii="宋体" w:hAnsi="宋体" w:cs="宋体"/>
                <w:kern w:val="0"/>
                <w:sz w:val="24"/>
              </w:rPr>
              <w:t>15+1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blCellSpacing w:w="15" w:type="dxa"/>
          <w:jc w:val="center"/>
        </w:trPr>
        <w:tc>
          <w:tcPr>
            <w:tcW w:w="1222" w:type="dxa"/>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left"/>
              <w:rPr>
                <w:rFonts w:ascii="宋体" w:hAnsi="宋体" w:cs="宋体"/>
                <w:kern w:val="0"/>
                <w:sz w:val="24"/>
              </w:rPr>
            </w:pPr>
            <w:r>
              <w:rPr>
                <w:rFonts w:hint="eastAsia" w:ascii="宋体" w:hAnsi="宋体" w:cs="宋体"/>
                <w:kern w:val="0"/>
                <w:sz w:val="24"/>
              </w:rPr>
              <w:t>婺城</w:t>
            </w:r>
            <w:r>
              <w:rPr>
                <w:rFonts w:ascii="宋体" w:hAnsi="宋体" w:cs="宋体"/>
                <w:kern w:val="0"/>
                <w:sz w:val="24"/>
              </w:rPr>
              <w:t>区</w:t>
            </w:r>
          </w:p>
        </w:tc>
        <w:tc>
          <w:tcPr>
            <w:tcW w:w="2444"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cs="宋体"/>
                <w:kern w:val="0"/>
                <w:sz w:val="24"/>
              </w:rPr>
            </w:pPr>
            <w:r>
              <w:rPr>
                <w:rFonts w:hint="eastAsia" w:ascii="宋体" w:hAnsi="宋体" w:cs="宋体"/>
                <w:kern w:val="0"/>
                <w:sz w:val="24"/>
              </w:rPr>
              <w:t>3</w:t>
            </w:r>
          </w:p>
        </w:tc>
        <w:tc>
          <w:tcPr>
            <w:tcW w:w="2146"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cs="宋体"/>
                <w:kern w:val="0"/>
                <w:sz w:val="24"/>
              </w:rPr>
            </w:pPr>
            <w:r>
              <w:rPr>
                <w:rFonts w:hint="eastAsia" w:ascii="宋体" w:hAnsi="宋体" w:cs="宋体"/>
                <w:kern w:val="0"/>
                <w:sz w:val="24"/>
              </w:rPr>
              <w:t>3</w:t>
            </w:r>
          </w:p>
        </w:tc>
        <w:tc>
          <w:tcPr>
            <w:tcW w:w="1957"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cs="宋体"/>
                <w:kern w:val="0"/>
                <w:sz w:val="24"/>
              </w:rPr>
            </w:pPr>
            <w:r>
              <w:rPr>
                <w:rFonts w:hint="eastAsia" w:ascii="宋体" w:hAnsi="宋体" w:cs="宋体"/>
                <w:kern w:val="0"/>
                <w:sz w:val="24"/>
              </w:rPr>
              <w:t>12+1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blCellSpacing w:w="15" w:type="dxa"/>
          <w:jc w:val="center"/>
        </w:trPr>
        <w:tc>
          <w:tcPr>
            <w:tcW w:w="1222" w:type="dxa"/>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left"/>
              <w:rPr>
                <w:rFonts w:ascii="宋体" w:hAnsi="宋体" w:cs="宋体"/>
                <w:kern w:val="0"/>
                <w:sz w:val="24"/>
              </w:rPr>
            </w:pPr>
            <w:r>
              <w:rPr>
                <w:rFonts w:hint="eastAsia" w:ascii="宋体" w:hAnsi="宋体" w:cs="宋体"/>
                <w:kern w:val="0"/>
                <w:sz w:val="24"/>
              </w:rPr>
              <w:t>金东</w:t>
            </w:r>
            <w:r>
              <w:rPr>
                <w:rFonts w:ascii="宋体" w:hAnsi="宋体" w:cs="宋体"/>
                <w:kern w:val="0"/>
                <w:sz w:val="24"/>
              </w:rPr>
              <w:t>区</w:t>
            </w:r>
          </w:p>
        </w:tc>
        <w:tc>
          <w:tcPr>
            <w:tcW w:w="2444"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cs="宋体"/>
                <w:kern w:val="0"/>
                <w:sz w:val="24"/>
              </w:rPr>
            </w:pPr>
          </w:p>
        </w:tc>
        <w:tc>
          <w:tcPr>
            <w:tcW w:w="2146"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cs="宋体"/>
                <w:kern w:val="0"/>
                <w:sz w:val="24"/>
              </w:rPr>
            </w:pPr>
            <w:r>
              <w:rPr>
                <w:rFonts w:hint="eastAsia" w:ascii="宋体" w:hAnsi="宋体" w:cs="宋体"/>
                <w:kern w:val="0"/>
                <w:sz w:val="24"/>
              </w:rPr>
              <w:t>1</w:t>
            </w:r>
          </w:p>
        </w:tc>
        <w:tc>
          <w:tcPr>
            <w:tcW w:w="1957"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cs="宋体"/>
                <w:kern w:val="0"/>
                <w:sz w:val="24"/>
              </w:rPr>
            </w:pPr>
            <w:r>
              <w:rPr>
                <w:rFonts w:hint="eastAsia" w:ascii="宋体" w:hAnsi="宋体" w:cs="宋体"/>
                <w:kern w:val="0"/>
                <w:sz w:val="24"/>
              </w:rPr>
              <w:t>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blCellSpacing w:w="15" w:type="dxa"/>
          <w:jc w:val="center"/>
        </w:trPr>
        <w:tc>
          <w:tcPr>
            <w:tcW w:w="1222" w:type="dxa"/>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left"/>
              <w:rPr>
                <w:rFonts w:ascii="宋体" w:hAnsi="宋体" w:cs="宋体"/>
                <w:kern w:val="0"/>
                <w:sz w:val="24"/>
              </w:rPr>
            </w:pPr>
            <w:r>
              <w:rPr>
                <w:rFonts w:hint="eastAsia" w:ascii="宋体" w:hAnsi="宋体" w:cs="宋体"/>
                <w:kern w:val="0"/>
                <w:sz w:val="24"/>
              </w:rPr>
              <w:t>兰溪市</w:t>
            </w:r>
          </w:p>
        </w:tc>
        <w:tc>
          <w:tcPr>
            <w:tcW w:w="2444"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cs="宋体"/>
                <w:kern w:val="0"/>
                <w:sz w:val="24"/>
              </w:rPr>
            </w:pPr>
          </w:p>
        </w:tc>
        <w:tc>
          <w:tcPr>
            <w:tcW w:w="2146"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cs="宋体"/>
                <w:kern w:val="0"/>
                <w:sz w:val="24"/>
              </w:rPr>
            </w:pPr>
            <w:r>
              <w:rPr>
                <w:rFonts w:ascii="宋体" w:hAnsi="宋体" w:cs="宋体"/>
                <w:kern w:val="0"/>
                <w:sz w:val="24"/>
              </w:rPr>
              <w:t>1</w:t>
            </w:r>
          </w:p>
        </w:tc>
        <w:tc>
          <w:tcPr>
            <w:tcW w:w="1957"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cs="宋体"/>
                <w:kern w:val="0"/>
                <w:sz w:val="24"/>
              </w:rPr>
            </w:pPr>
            <w:r>
              <w:rPr>
                <w:rFonts w:hint="eastAsia" w:ascii="宋体" w:hAnsi="宋体" w:cs="宋体"/>
                <w:kern w:val="0"/>
                <w:sz w:val="24"/>
              </w:rPr>
              <w:t>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blCellSpacing w:w="15" w:type="dxa"/>
          <w:jc w:val="center"/>
        </w:trPr>
        <w:tc>
          <w:tcPr>
            <w:tcW w:w="1222" w:type="dxa"/>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left"/>
              <w:rPr>
                <w:rFonts w:ascii="宋体" w:hAnsi="宋体" w:cs="宋体"/>
                <w:kern w:val="0"/>
                <w:sz w:val="24"/>
              </w:rPr>
            </w:pPr>
            <w:r>
              <w:rPr>
                <w:rFonts w:hint="eastAsia" w:ascii="宋体" w:hAnsi="宋体" w:cs="宋体"/>
                <w:kern w:val="0"/>
                <w:sz w:val="24"/>
              </w:rPr>
              <w:t>东阳</w:t>
            </w:r>
            <w:r>
              <w:rPr>
                <w:rFonts w:ascii="宋体" w:hAnsi="宋体" w:cs="宋体"/>
                <w:kern w:val="0"/>
                <w:sz w:val="24"/>
              </w:rPr>
              <w:t>市</w:t>
            </w:r>
          </w:p>
        </w:tc>
        <w:tc>
          <w:tcPr>
            <w:tcW w:w="2444"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cs="宋体"/>
                <w:kern w:val="0"/>
                <w:sz w:val="24"/>
              </w:rPr>
            </w:pPr>
            <w:r>
              <w:rPr>
                <w:rFonts w:ascii="宋体" w:hAnsi="宋体" w:cs="宋体"/>
                <w:kern w:val="0"/>
                <w:sz w:val="24"/>
              </w:rPr>
              <w:t>2</w:t>
            </w:r>
          </w:p>
        </w:tc>
        <w:tc>
          <w:tcPr>
            <w:tcW w:w="2146"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cs="宋体"/>
                <w:kern w:val="0"/>
                <w:sz w:val="24"/>
              </w:rPr>
            </w:pPr>
            <w:r>
              <w:rPr>
                <w:rFonts w:hint="eastAsia" w:ascii="宋体" w:hAnsi="宋体" w:cs="宋体"/>
                <w:kern w:val="0"/>
                <w:sz w:val="24"/>
              </w:rPr>
              <w:t>2</w:t>
            </w:r>
          </w:p>
        </w:tc>
        <w:tc>
          <w:tcPr>
            <w:tcW w:w="1957"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cs="宋体"/>
                <w:kern w:val="0"/>
                <w:sz w:val="24"/>
              </w:rPr>
            </w:pPr>
            <w:r>
              <w:rPr>
                <w:rFonts w:hint="eastAsia" w:ascii="宋体" w:hAnsi="宋体" w:cs="宋体"/>
                <w:kern w:val="0"/>
                <w:sz w:val="24"/>
              </w:rPr>
              <w:t>5+1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blCellSpacing w:w="15" w:type="dxa"/>
          <w:jc w:val="center"/>
        </w:trPr>
        <w:tc>
          <w:tcPr>
            <w:tcW w:w="1222" w:type="dxa"/>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left"/>
              <w:rPr>
                <w:rFonts w:ascii="宋体" w:hAnsi="宋体" w:cs="宋体"/>
                <w:kern w:val="0"/>
                <w:sz w:val="24"/>
              </w:rPr>
            </w:pPr>
            <w:r>
              <w:rPr>
                <w:rFonts w:hint="eastAsia" w:ascii="宋体" w:hAnsi="宋体" w:cs="宋体"/>
                <w:kern w:val="0"/>
                <w:sz w:val="24"/>
              </w:rPr>
              <w:t>义乌</w:t>
            </w:r>
            <w:r>
              <w:rPr>
                <w:rFonts w:ascii="宋体" w:hAnsi="宋体" w:cs="宋体"/>
                <w:kern w:val="0"/>
                <w:sz w:val="24"/>
              </w:rPr>
              <w:t>市</w:t>
            </w:r>
          </w:p>
        </w:tc>
        <w:tc>
          <w:tcPr>
            <w:tcW w:w="2444"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cs="宋体"/>
                <w:kern w:val="0"/>
                <w:sz w:val="24"/>
              </w:rPr>
            </w:pPr>
            <w:r>
              <w:rPr>
                <w:rFonts w:hint="eastAsia" w:ascii="宋体" w:hAnsi="宋体" w:cs="宋体"/>
                <w:kern w:val="0"/>
                <w:sz w:val="24"/>
              </w:rPr>
              <w:t>4</w:t>
            </w:r>
          </w:p>
        </w:tc>
        <w:tc>
          <w:tcPr>
            <w:tcW w:w="2146"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cs="宋体"/>
                <w:kern w:val="0"/>
                <w:sz w:val="24"/>
              </w:rPr>
            </w:pPr>
            <w:r>
              <w:rPr>
                <w:rFonts w:hint="eastAsia" w:ascii="宋体" w:hAnsi="宋体" w:cs="宋体"/>
                <w:kern w:val="0"/>
                <w:sz w:val="24"/>
              </w:rPr>
              <w:t>5</w:t>
            </w:r>
          </w:p>
        </w:tc>
        <w:tc>
          <w:tcPr>
            <w:tcW w:w="1957"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cs="宋体"/>
                <w:kern w:val="0"/>
                <w:sz w:val="24"/>
              </w:rPr>
            </w:pPr>
            <w:r>
              <w:rPr>
                <w:rFonts w:hint="eastAsia" w:ascii="宋体" w:hAnsi="宋体" w:cs="宋体"/>
                <w:kern w:val="0"/>
                <w:sz w:val="24"/>
              </w:rPr>
              <w:t>13+2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blCellSpacing w:w="15" w:type="dxa"/>
          <w:jc w:val="center"/>
        </w:trPr>
        <w:tc>
          <w:tcPr>
            <w:tcW w:w="1222" w:type="dxa"/>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left"/>
              <w:rPr>
                <w:rFonts w:ascii="宋体" w:hAnsi="宋体" w:cs="宋体"/>
                <w:kern w:val="0"/>
                <w:sz w:val="24"/>
              </w:rPr>
            </w:pPr>
            <w:r>
              <w:rPr>
                <w:rFonts w:hint="eastAsia" w:ascii="宋体" w:hAnsi="宋体" w:cs="宋体"/>
                <w:kern w:val="0"/>
                <w:sz w:val="24"/>
              </w:rPr>
              <w:t>永康市</w:t>
            </w:r>
          </w:p>
        </w:tc>
        <w:tc>
          <w:tcPr>
            <w:tcW w:w="2444"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cs="宋体"/>
                <w:kern w:val="0"/>
                <w:sz w:val="24"/>
              </w:rPr>
            </w:pPr>
            <w:r>
              <w:rPr>
                <w:rFonts w:hint="eastAsia" w:ascii="宋体" w:hAnsi="宋体" w:cs="宋体"/>
                <w:kern w:val="0"/>
                <w:sz w:val="24"/>
              </w:rPr>
              <w:t>1</w:t>
            </w:r>
          </w:p>
        </w:tc>
        <w:tc>
          <w:tcPr>
            <w:tcW w:w="2146"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cs="宋体"/>
                <w:kern w:val="0"/>
                <w:sz w:val="24"/>
              </w:rPr>
            </w:pPr>
            <w:r>
              <w:rPr>
                <w:rFonts w:hint="eastAsia" w:ascii="宋体" w:hAnsi="宋体" w:cs="宋体"/>
                <w:kern w:val="0"/>
                <w:sz w:val="24"/>
              </w:rPr>
              <w:t>2</w:t>
            </w:r>
          </w:p>
        </w:tc>
        <w:tc>
          <w:tcPr>
            <w:tcW w:w="1957"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cs="宋体"/>
                <w:kern w:val="0"/>
                <w:sz w:val="24"/>
              </w:rPr>
            </w:pPr>
            <w:r>
              <w:rPr>
                <w:rFonts w:hint="eastAsia" w:ascii="宋体" w:hAnsi="宋体" w:cs="宋体"/>
                <w:kern w:val="0"/>
                <w:sz w:val="24"/>
              </w:rPr>
              <w:t>6+1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blCellSpacing w:w="15" w:type="dxa"/>
          <w:jc w:val="center"/>
        </w:trPr>
        <w:tc>
          <w:tcPr>
            <w:tcW w:w="1222" w:type="dxa"/>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left"/>
              <w:rPr>
                <w:rFonts w:ascii="宋体" w:hAnsi="宋体" w:cs="宋体"/>
                <w:kern w:val="0"/>
                <w:sz w:val="24"/>
              </w:rPr>
            </w:pPr>
            <w:r>
              <w:rPr>
                <w:rFonts w:hint="eastAsia" w:ascii="宋体" w:hAnsi="宋体" w:cs="宋体"/>
                <w:kern w:val="0"/>
                <w:sz w:val="24"/>
              </w:rPr>
              <w:t>浦江县</w:t>
            </w:r>
          </w:p>
        </w:tc>
        <w:tc>
          <w:tcPr>
            <w:tcW w:w="2444"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cs="宋体"/>
                <w:kern w:val="0"/>
                <w:sz w:val="24"/>
              </w:rPr>
            </w:pPr>
          </w:p>
        </w:tc>
        <w:tc>
          <w:tcPr>
            <w:tcW w:w="2146"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cs="宋体"/>
                <w:kern w:val="0"/>
                <w:sz w:val="24"/>
              </w:rPr>
            </w:pPr>
            <w:r>
              <w:rPr>
                <w:rFonts w:hint="eastAsia" w:ascii="宋体" w:hAnsi="宋体" w:cs="宋体"/>
                <w:kern w:val="0"/>
                <w:sz w:val="24"/>
              </w:rPr>
              <w:t>1</w:t>
            </w:r>
          </w:p>
        </w:tc>
        <w:tc>
          <w:tcPr>
            <w:tcW w:w="1957"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cs="宋体"/>
                <w:kern w:val="0"/>
                <w:sz w:val="24"/>
              </w:rPr>
            </w:pPr>
            <w:r>
              <w:rPr>
                <w:rFonts w:hint="eastAsia" w:ascii="宋体" w:hAnsi="宋体" w:cs="宋体"/>
                <w:kern w:val="0"/>
                <w:sz w:val="24"/>
              </w:rPr>
              <w:t>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blCellSpacing w:w="15" w:type="dxa"/>
          <w:jc w:val="center"/>
        </w:trPr>
        <w:tc>
          <w:tcPr>
            <w:tcW w:w="1222" w:type="dxa"/>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left"/>
              <w:rPr>
                <w:rFonts w:ascii="宋体" w:hAnsi="宋体" w:cs="宋体"/>
                <w:kern w:val="0"/>
                <w:sz w:val="24"/>
              </w:rPr>
            </w:pPr>
            <w:r>
              <w:rPr>
                <w:rFonts w:hint="eastAsia" w:ascii="宋体" w:hAnsi="宋体" w:cs="宋体"/>
                <w:kern w:val="0"/>
                <w:sz w:val="24"/>
              </w:rPr>
              <w:t>武义县</w:t>
            </w:r>
          </w:p>
        </w:tc>
        <w:tc>
          <w:tcPr>
            <w:tcW w:w="2444"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cs="宋体"/>
                <w:kern w:val="0"/>
                <w:sz w:val="24"/>
              </w:rPr>
            </w:pPr>
          </w:p>
        </w:tc>
        <w:tc>
          <w:tcPr>
            <w:tcW w:w="2146"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cs="宋体"/>
                <w:kern w:val="0"/>
                <w:sz w:val="24"/>
              </w:rPr>
            </w:pPr>
            <w:r>
              <w:rPr>
                <w:rFonts w:hint="eastAsia" w:ascii="宋体" w:hAnsi="宋体" w:cs="宋体"/>
                <w:kern w:val="0"/>
                <w:sz w:val="24"/>
              </w:rPr>
              <w:t>1</w:t>
            </w:r>
          </w:p>
        </w:tc>
        <w:tc>
          <w:tcPr>
            <w:tcW w:w="1957"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cs="宋体"/>
                <w:kern w:val="0"/>
                <w:sz w:val="24"/>
              </w:rPr>
            </w:pPr>
            <w:r>
              <w:rPr>
                <w:rFonts w:hint="eastAsia" w:ascii="宋体" w:hAnsi="宋体" w:cs="宋体"/>
                <w:kern w:val="0"/>
                <w:sz w:val="24"/>
              </w:rPr>
              <w:t>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blCellSpacing w:w="15" w:type="dxa"/>
          <w:jc w:val="center"/>
        </w:trPr>
        <w:tc>
          <w:tcPr>
            <w:tcW w:w="1222" w:type="dxa"/>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left"/>
              <w:rPr>
                <w:rFonts w:ascii="宋体" w:hAnsi="宋体" w:cs="宋体"/>
                <w:kern w:val="0"/>
                <w:sz w:val="24"/>
              </w:rPr>
            </w:pPr>
            <w:r>
              <w:rPr>
                <w:rFonts w:hint="eastAsia" w:ascii="宋体" w:hAnsi="宋体" w:cs="宋体"/>
                <w:kern w:val="0"/>
                <w:sz w:val="24"/>
              </w:rPr>
              <w:t>磐安县</w:t>
            </w:r>
          </w:p>
        </w:tc>
        <w:tc>
          <w:tcPr>
            <w:tcW w:w="2444"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cs="宋体"/>
                <w:kern w:val="0"/>
                <w:sz w:val="24"/>
              </w:rPr>
            </w:pPr>
          </w:p>
        </w:tc>
        <w:tc>
          <w:tcPr>
            <w:tcW w:w="2146"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cs="宋体"/>
                <w:kern w:val="0"/>
                <w:sz w:val="24"/>
              </w:rPr>
            </w:pPr>
            <w:r>
              <w:rPr>
                <w:rFonts w:hint="eastAsia" w:ascii="宋体" w:hAnsi="宋体" w:cs="宋体"/>
                <w:kern w:val="0"/>
                <w:sz w:val="24"/>
              </w:rPr>
              <w:t>1</w:t>
            </w:r>
          </w:p>
        </w:tc>
        <w:tc>
          <w:tcPr>
            <w:tcW w:w="1957"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cs="宋体"/>
                <w:kern w:val="0"/>
                <w:sz w:val="24"/>
              </w:rPr>
            </w:pPr>
            <w:r>
              <w:rPr>
                <w:rFonts w:hint="eastAsia" w:ascii="宋体" w:hAnsi="宋体" w:cs="宋体"/>
                <w:kern w:val="0"/>
                <w:sz w:val="24"/>
              </w:rPr>
              <w:t>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blCellSpacing w:w="15" w:type="dxa"/>
          <w:jc w:val="center"/>
        </w:trPr>
        <w:tc>
          <w:tcPr>
            <w:tcW w:w="1222" w:type="dxa"/>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left"/>
              <w:rPr>
                <w:rFonts w:ascii="宋体" w:hAnsi="宋体" w:cs="宋体"/>
                <w:kern w:val="0"/>
                <w:sz w:val="24"/>
              </w:rPr>
            </w:pPr>
            <w:r>
              <w:rPr>
                <w:rFonts w:ascii="宋体" w:hAnsi="宋体" w:cs="宋体"/>
                <w:kern w:val="0"/>
                <w:sz w:val="24"/>
              </w:rPr>
              <w:t>合计</w:t>
            </w:r>
          </w:p>
        </w:tc>
        <w:tc>
          <w:tcPr>
            <w:tcW w:w="2444"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cs="宋体"/>
                <w:kern w:val="0"/>
                <w:sz w:val="24"/>
              </w:rPr>
            </w:pPr>
            <w:r>
              <w:rPr>
                <w:rFonts w:hint="eastAsia" w:ascii="宋体" w:hAnsi="宋体" w:cs="宋体"/>
                <w:kern w:val="0"/>
                <w:sz w:val="24"/>
              </w:rPr>
              <w:t>15</w:t>
            </w:r>
          </w:p>
        </w:tc>
        <w:tc>
          <w:tcPr>
            <w:tcW w:w="2146"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cs="宋体"/>
                <w:kern w:val="0"/>
                <w:sz w:val="24"/>
              </w:rPr>
            </w:pPr>
            <w:r>
              <w:rPr>
                <w:rFonts w:hint="eastAsia" w:ascii="宋体" w:hAnsi="宋体" w:cs="宋体"/>
                <w:kern w:val="0"/>
                <w:sz w:val="24"/>
              </w:rPr>
              <w:t>20</w:t>
            </w:r>
          </w:p>
        </w:tc>
        <w:tc>
          <w:tcPr>
            <w:tcW w:w="1957"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cs="宋体"/>
                <w:kern w:val="0"/>
                <w:sz w:val="24"/>
              </w:rPr>
            </w:pPr>
            <w:r>
              <w:rPr>
                <w:rFonts w:hint="eastAsia" w:ascii="宋体" w:hAnsi="宋体" w:cs="宋体"/>
                <w:kern w:val="0"/>
                <w:sz w:val="24"/>
              </w:rPr>
              <w:t>66</w:t>
            </w:r>
          </w:p>
        </w:tc>
      </w:tr>
    </w:tbl>
    <w:p>
      <w:r>
        <w:rPr>
          <w:rFonts w:hint="eastAsia"/>
        </w:rPr>
        <w:t xml:space="preserve">         名律师在原来60名基础上增加涉外律师6名。</w:t>
      </w:r>
    </w:p>
    <w:sectPr>
      <w:footerReference r:id="rId3"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73D02954"/>
    <w:rsid w:val="0000154D"/>
    <w:rsid w:val="00022B94"/>
    <w:rsid w:val="00085B0F"/>
    <w:rsid w:val="000F6634"/>
    <w:rsid w:val="00131217"/>
    <w:rsid w:val="00153DEF"/>
    <w:rsid w:val="00277330"/>
    <w:rsid w:val="0028033C"/>
    <w:rsid w:val="00281EB8"/>
    <w:rsid w:val="00447C57"/>
    <w:rsid w:val="004D1C91"/>
    <w:rsid w:val="00502F06"/>
    <w:rsid w:val="00506A08"/>
    <w:rsid w:val="005075CB"/>
    <w:rsid w:val="005256DB"/>
    <w:rsid w:val="006257A8"/>
    <w:rsid w:val="00665DDD"/>
    <w:rsid w:val="00675875"/>
    <w:rsid w:val="006C01A9"/>
    <w:rsid w:val="007179CF"/>
    <w:rsid w:val="007542F6"/>
    <w:rsid w:val="007B34D7"/>
    <w:rsid w:val="00891FE6"/>
    <w:rsid w:val="008A6AFF"/>
    <w:rsid w:val="008C65B1"/>
    <w:rsid w:val="009571D4"/>
    <w:rsid w:val="00A139CA"/>
    <w:rsid w:val="00A54D61"/>
    <w:rsid w:val="00BF5B16"/>
    <w:rsid w:val="00C147D8"/>
    <w:rsid w:val="00C15207"/>
    <w:rsid w:val="00C22CDE"/>
    <w:rsid w:val="00CD45D9"/>
    <w:rsid w:val="00D5745F"/>
    <w:rsid w:val="00D672A3"/>
    <w:rsid w:val="00D7524D"/>
    <w:rsid w:val="00DC726B"/>
    <w:rsid w:val="00E47AB2"/>
    <w:rsid w:val="00F375D7"/>
    <w:rsid w:val="17B60436"/>
    <w:rsid w:val="2370018D"/>
    <w:rsid w:val="2CC846F6"/>
    <w:rsid w:val="379F272C"/>
    <w:rsid w:val="469755AB"/>
    <w:rsid w:val="598D7D52"/>
    <w:rsid w:val="5D1C247B"/>
    <w:rsid w:val="68312B12"/>
    <w:rsid w:val="69043111"/>
    <w:rsid w:val="6C5D74EF"/>
    <w:rsid w:val="73D02954"/>
    <w:rsid w:val="7B8421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8"/>
    <w:uiPriority w:val="0"/>
    <w:rPr>
      <w:sz w:val="18"/>
      <w:szCs w:val="18"/>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iPriority w:val="0"/>
    <w:pPr>
      <w:spacing w:beforeAutospacing="1" w:afterAutospacing="1"/>
      <w:jc w:val="left"/>
    </w:pPr>
    <w:rPr>
      <w:rFonts w:cs="Times New Roman"/>
      <w:kern w:val="0"/>
      <w:sz w:val="24"/>
    </w:rPr>
  </w:style>
  <w:style w:type="character" w:customStyle="1" w:styleId="8">
    <w:name w:val="批注框文本 Char"/>
    <w:basedOn w:val="6"/>
    <w:link w:val="2"/>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820575-39EE-46AC-8120-C17D37AE6822}">
  <ds:schemaRefs/>
</ds:datastoreItem>
</file>

<file path=docProps/app.xml><?xml version="1.0" encoding="utf-8"?>
<Properties xmlns="http://schemas.openxmlformats.org/officeDocument/2006/extended-properties" xmlns:vt="http://schemas.openxmlformats.org/officeDocument/2006/docPropsVTypes">
  <Template>Normal</Template>
  <Company>市司法局</Company>
  <Pages>8</Pages>
  <Words>524</Words>
  <Characters>2990</Characters>
  <Lines>24</Lines>
  <Paragraphs>7</Paragraphs>
  <TotalTime>125</TotalTime>
  <ScaleCrop>false</ScaleCrop>
  <LinksUpToDate>false</LinksUpToDate>
  <CharactersWithSpaces>3507</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2019-08-10T05:31:00Z</dcterms:created>
  <dc:creator>方炳富</dc:creator>
  <cp:lastModifiedBy>郑晓敏</cp:lastModifiedBy>
  <cp:lastPrinted>2019-08-10T09:25:00Z</cp:lastPrinted>
  <dcterms:modified xsi:type="dcterms:W3CDTF">2019-11-20T09:07:16Z</dcterms:modified>
  <dc:title>关于扶持全市律师业发展的若干政策意见</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